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Kokkuvõte: Gravitatsioonimudelite kasutamine väljapääsupunktide kaalude määramisel</w:t>
      </w:r>
    </w:p>
    <w:p>
      <w:pPr>
        <w:pStyle w:val="Heading2"/>
      </w:pPr>
      <w:r>
        <w:t>1. Sissejuhatus</w:t>
      </w:r>
    </w:p>
    <w:p>
      <w:r>
        <w:t>Gravitatsioonimudeleid kasutatakse ruumilise ligipääsetavuse ja tõmbekeskuste mõju hindamiseks. Selles kontekstis määratakse väljapääsupunktidele kaalud, mis sõltuvad nende kaugusest gravitatsioonipunktidest ning muudest teguritest nagu teekatte kvaliteet, liiklussagedus, takistused ja atraktiivsus.</w:t>
      </w:r>
    </w:p>
    <w:p>
      <w:pPr>
        <w:pStyle w:val="Heading2"/>
      </w:pPr>
      <w:r>
        <w:t>2. Matemaatiline mudel</w:t>
      </w:r>
    </w:p>
    <w:p>
      <w:r>
        <w:t>Iga väljapääsupunkti kaal arvutatakse valemiga:</w:t>
        <w:br/>
        <w:t xml:space="preserve">    w_{ij} = (a_i^α * q_i^β * t_i^γ * r_i^δ) / d_{ij}^λ</w:t>
        <w:br/>
        <w:t>kus:</w:t>
        <w:br/>
        <w:t>- a_i: atraktiivsus</w:t>
        <w:br/>
        <w:t>- q_i: teekatte kvaliteet</w:t>
        <w:br/>
        <w:t>- t_i: liiklussagedus</w:t>
        <w:br/>
        <w:t>- r_i: takistustegur</w:t>
        <w:br/>
        <w:t>- d_{ij}: kaugus väljapääsupunktist i gravitatsioonipunktini j</w:t>
        <w:br/>
        <w:t>- α, β, γ, δ, λ: eksponendid, mis määravad tegurite mõju</w:t>
        <w:br/>
        <w:br/>
        <w:t>Kogukaal väljapääsupunktile i arvutatakse summeerides kõikide gravitatsioonipunktide kaalud:</w:t>
        <w:br/>
        <w:t xml:space="preserve">    W_i = ∑ w_{ij}</w:t>
      </w:r>
    </w:p>
    <w:p>
      <w:pPr>
        <w:pStyle w:val="Heading2"/>
      </w:pPr>
      <w:r>
        <w:t>3. Simulatsioon ja visualiseerimine</w:t>
      </w:r>
    </w:p>
    <w:p>
      <w:r>
        <w:t>Simulatsioonis kasutati viit väljapääsupunkti ja kolme gravitatsioonipunkti. Iga väljapääsupunkti kohta arvutati kaalud kõigi gravitatsioonipunktide suhtes ning summeeriti kogukaal. Visualiseerimiseks kasutati tulpdiagramme, punktdiagramme, radar-graafikuid ja kaardivisualiseeringuid.</w:t>
      </w:r>
    </w:p>
    <w:p>
      <w:pPr>
        <w:pStyle w:val="Heading2"/>
      </w:pPr>
      <w:r>
        <w:t>4. Näidistulemused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Exit</w:t>
            </w:r>
          </w:p>
        </w:tc>
        <w:tc>
          <w:tcPr>
            <w:tcW w:type="dxa" w:w="1728"/>
          </w:tcPr>
          <w:p>
            <w:r>
              <w:t>Weight G1</w:t>
            </w:r>
          </w:p>
        </w:tc>
        <w:tc>
          <w:tcPr>
            <w:tcW w:type="dxa" w:w="1728"/>
          </w:tcPr>
          <w:p>
            <w:r>
              <w:t>Weight G2</w:t>
            </w:r>
          </w:p>
        </w:tc>
        <w:tc>
          <w:tcPr>
            <w:tcW w:type="dxa" w:w="1728"/>
          </w:tcPr>
          <w:p>
            <w:r>
              <w:t>Weight G3</w:t>
            </w:r>
          </w:p>
        </w:tc>
        <w:tc>
          <w:tcPr>
            <w:tcW w:type="dxa" w:w="1728"/>
          </w:tcPr>
          <w:p>
            <w:r>
              <w:t>Total Weight</w:t>
            </w:r>
          </w:p>
        </w:tc>
      </w:tr>
      <w:tr>
        <w:tc>
          <w:tcPr>
            <w:tcW w:type="dxa" w:w="1728"/>
          </w:tcPr>
          <w:p>
            <w:r>
              <w:t>A</w:t>
            </w:r>
          </w:p>
        </w:tc>
        <w:tc>
          <w:tcPr>
            <w:tcW w:type="dxa" w:w="1728"/>
          </w:tcPr>
          <w:p>
            <w:r>
              <w:t>0.972</w:t>
            </w:r>
          </w:p>
        </w:tc>
        <w:tc>
          <w:tcPr>
            <w:tcW w:type="dxa" w:w="1728"/>
          </w:tcPr>
          <w:p>
            <w:r>
              <w:t>0.432</w:t>
            </w:r>
          </w:p>
        </w:tc>
        <w:tc>
          <w:tcPr>
            <w:tcW w:type="dxa" w:w="1728"/>
          </w:tcPr>
          <w:p>
            <w:r>
              <w:t>0.243</w:t>
            </w:r>
          </w:p>
        </w:tc>
        <w:tc>
          <w:tcPr>
            <w:tcW w:type="dxa" w:w="1728"/>
          </w:tcPr>
          <w:p>
            <w:r>
              <w:t>1.647</w:t>
            </w:r>
          </w:p>
        </w:tc>
      </w:tr>
      <w:tr>
        <w:tc>
          <w:tcPr>
            <w:tcW w:type="dxa" w:w="1728"/>
          </w:tcPr>
          <w:p>
            <w:r>
              <w:t>B</w:t>
            </w:r>
          </w:p>
        </w:tc>
        <w:tc>
          <w:tcPr>
            <w:tcW w:type="dxa" w:w="1728"/>
          </w:tcPr>
          <w:p>
            <w:r>
              <w:t>0.0588</w:t>
            </w:r>
          </w:p>
        </w:tc>
        <w:tc>
          <w:tcPr>
            <w:tcW w:type="dxa" w:w="1728"/>
          </w:tcPr>
          <w:p>
            <w:r>
              <w:t>0.0726</w:t>
            </w:r>
          </w:p>
        </w:tc>
        <w:tc>
          <w:tcPr>
            <w:tcW w:type="dxa" w:w="1728"/>
          </w:tcPr>
          <w:p>
            <w:r>
              <w:t>0.1633</w:t>
            </w:r>
          </w:p>
        </w:tc>
        <w:tc>
          <w:tcPr>
            <w:tcW w:type="dxa" w:w="1728"/>
          </w:tcPr>
          <w:p>
            <w:r>
              <w:t>0.2947</w:t>
            </w:r>
          </w:p>
        </w:tc>
      </w:tr>
      <w:tr>
        <w:tc>
          <w:tcPr>
            <w:tcW w:type="dxa" w:w="1728"/>
          </w:tcPr>
          <w:p>
            <w:r>
              <w:t>C</w:t>
            </w:r>
          </w:p>
        </w:tc>
        <w:tc>
          <w:tcPr>
            <w:tcW w:type="dxa" w:w="1728"/>
          </w:tcPr>
          <w:p>
            <w:r>
              <w:t>0.5306</w:t>
            </w:r>
          </w:p>
        </w:tc>
        <w:tc>
          <w:tcPr>
            <w:tcW w:type="dxa" w:w="1728"/>
          </w:tcPr>
          <w:p>
            <w:r>
              <w:t>1.040</w:t>
            </w:r>
          </w:p>
        </w:tc>
        <w:tc>
          <w:tcPr>
            <w:tcW w:type="dxa" w:w="1728"/>
          </w:tcPr>
          <w:p>
            <w:r>
              <w:t>0.260</w:t>
            </w:r>
          </w:p>
        </w:tc>
        <w:tc>
          <w:tcPr>
            <w:tcW w:type="dxa" w:w="1728"/>
          </w:tcPr>
          <w:p>
            <w:r>
              <w:t>1.8306</w:t>
            </w:r>
          </w:p>
        </w:tc>
      </w:tr>
      <w:tr>
        <w:tc>
          <w:tcPr>
            <w:tcW w:type="dxa" w:w="1728"/>
          </w:tcPr>
          <w:p>
            <w:r>
              <w:t>D</w:t>
            </w:r>
          </w:p>
        </w:tc>
        <w:tc>
          <w:tcPr>
            <w:tcW w:type="dxa" w:w="1728"/>
          </w:tcPr>
          <w:p>
            <w:r>
              <w:t>0.0160</w:t>
            </w:r>
          </w:p>
        </w:tc>
        <w:tc>
          <w:tcPr>
            <w:tcW w:type="dxa" w:w="1728"/>
          </w:tcPr>
          <w:p>
            <w:r>
              <w:t>0.0190</w:t>
            </w:r>
          </w:p>
        </w:tc>
        <w:tc>
          <w:tcPr>
            <w:tcW w:type="dxa" w:w="1728"/>
          </w:tcPr>
          <w:p>
            <w:r>
              <w:t>0.0922</w:t>
            </w:r>
          </w:p>
        </w:tc>
        <w:tc>
          <w:tcPr>
            <w:tcW w:type="dxa" w:w="1728"/>
          </w:tcPr>
          <w:p>
            <w:r>
              <w:t>0.1272</w:t>
            </w:r>
          </w:p>
        </w:tc>
      </w:tr>
      <w:tr>
        <w:tc>
          <w:tcPr>
            <w:tcW w:type="dxa" w:w="1728"/>
          </w:tcPr>
          <w:p>
            <w:r>
              <w:t>E</w:t>
            </w:r>
          </w:p>
        </w:tc>
        <w:tc>
          <w:tcPr>
            <w:tcW w:type="dxa" w:w="1728"/>
          </w:tcPr>
          <w:p>
            <w:r>
              <w:t>0.1760</w:t>
            </w:r>
          </w:p>
        </w:tc>
        <w:tc>
          <w:tcPr>
            <w:tcW w:type="dxa" w:w="1728"/>
          </w:tcPr>
          <w:p>
            <w:r>
              <w:t>0.2299</w:t>
            </w:r>
          </w:p>
        </w:tc>
        <w:tc>
          <w:tcPr>
            <w:tcW w:type="dxa" w:w="1728"/>
          </w:tcPr>
          <w:p>
            <w:r>
              <w:t>0.1391</w:t>
            </w:r>
          </w:p>
        </w:tc>
        <w:tc>
          <w:tcPr>
            <w:tcW w:type="dxa" w:w="1728"/>
          </w:tcPr>
          <w:p>
            <w:r>
              <w:t>0.5449</w:t>
            </w:r>
          </w:p>
        </w:tc>
      </w:tr>
    </w:tbl>
    <w:p>
      <w:pPr>
        <w:pStyle w:val="Heading2"/>
      </w:pPr>
      <w:r>
        <w:t>5. Viidatud kirjandus</w:t>
      </w:r>
    </w:p>
    <w:p>
      <w:r>
        <w:t>[1] Stacherl, B. &amp; Sauzet, O. (2023). Gravity models for potential spatial healthcare access measurement: a systematic methodological review. International Journal of Health Geographics.</w:t>
        <w:br/>
        <w:t>[2] Portland State University. Gravity and Spatial Interaction Models. https://web.pdx.edu/~stipakb/download/PA557/ReadingsPA557sec1-2.pdf</w:t>
        <w:br/>
        <w:t>[3] Tóth, G. &amp; Kincses, Á. (2015). Accessibility and potential model: theoretical basis and practical application. Deturope – Central European Journal of Regional Development and Tourism.</w:t>
        <w:br/>
        <w:t>[4] Haynes, K. E. &amp; Fotheringham, A. S. (1984). Gravity and Spatial Interaction Models. Sage Publications.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